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D7" w:rsidRPr="00313722" w:rsidRDefault="009005A3" w:rsidP="00313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Взаимодействие университета и региона</w:t>
      </w:r>
    </w:p>
    <w:p w:rsidR="00313722" w:rsidRDefault="00313722" w:rsidP="00351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DD" w:rsidRDefault="00313722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B31383">
        <w:rPr>
          <w:rFonts w:ascii="Times New Roman" w:hAnsi="Times New Roman" w:cs="Times New Roman"/>
          <w:sz w:val="28"/>
          <w:szCs w:val="28"/>
        </w:rPr>
        <w:t>опубликован рейтинг</w:t>
      </w:r>
      <w:r w:rsidR="00B215DD">
        <w:rPr>
          <w:rFonts w:ascii="Times New Roman" w:hAnsi="Times New Roman" w:cs="Times New Roman"/>
          <w:sz w:val="28"/>
          <w:szCs w:val="28"/>
        </w:rPr>
        <w:t xml:space="preserve"> 100 наиболее крупных налогоплательщиков Алтайского края</w:t>
      </w:r>
      <w:r w:rsidR="00B31383">
        <w:rPr>
          <w:rFonts w:ascii="Times New Roman" w:hAnsi="Times New Roman" w:cs="Times New Roman"/>
          <w:sz w:val="28"/>
          <w:szCs w:val="28"/>
        </w:rPr>
        <w:t>, который вызвал резонанс в СМИ региона.</w:t>
      </w:r>
      <w:r w:rsidR="00B274D7">
        <w:rPr>
          <w:rFonts w:ascii="Times New Roman" w:hAnsi="Times New Roman" w:cs="Times New Roman"/>
          <w:sz w:val="28"/>
          <w:szCs w:val="28"/>
        </w:rPr>
        <w:t xml:space="preserve"> В материалах статей и комментариях </w:t>
      </w:r>
      <w:r w:rsidR="00351D5A">
        <w:rPr>
          <w:rFonts w:ascii="Times New Roman" w:hAnsi="Times New Roman" w:cs="Times New Roman"/>
          <w:sz w:val="28"/>
          <w:szCs w:val="28"/>
        </w:rPr>
        <w:t>основное</w:t>
      </w:r>
      <w:r w:rsidR="00B274D7">
        <w:rPr>
          <w:rFonts w:ascii="Times New Roman" w:hAnsi="Times New Roman" w:cs="Times New Roman"/>
          <w:sz w:val="28"/>
          <w:szCs w:val="28"/>
        </w:rPr>
        <w:t xml:space="preserve"> внимание было уделено </w:t>
      </w:r>
      <w:r w:rsidR="00351D5A">
        <w:rPr>
          <w:rFonts w:ascii="Times New Roman" w:hAnsi="Times New Roman" w:cs="Times New Roman"/>
          <w:sz w:val="28"/>
          <w:szCs w:val="28"/>
        </w:rPr>
        <w:t xml:space="preserve">фактам </w:t>
      </w:r>
      <w:r w:rsidR="00B274D7">
        <w:rPr>
          <w:rFonts w:ascii="Times New Roman" w:hAnsi="Times New Roman" w:cs="Times New Roman"/>
          <w:sz w:val="28"/>
          <w:szCs w:val="28"/>
        </w:rPr>
        <w:t>недостаточно</w:t>
      </w:r>
      <w:r w:rsidR="00351D5A">
        <w:rPr>
          <w:rFonts w:ascii="Times New Roman" w:hAnsi="Times New Roman" w:cs="Times New Roman"/>
          <w:sz w:val="28"/>
          <w:szCs w:val="28"/>
        </w:rPr>
        <w:t>го</w:t>
      </w:r>
      <w:r w:rsidR="00B274D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51D5A">
        <w:rPr>
          <w:rFonts w:ascii="Times New Roman" w:hAnsi="Times New Roman" w:cs="Times New Roman"/>
          <w:sz w:val="28"/>
          <w:szCs w:val="28"/>
        </w:rPr>
        <w:t>я</w:t>
      </w:r>
      <w:r w:rsidR="00B274D7">
        <w:rPr>
          <w:rFonts w:ascii="Times New Roman" w:hAnsi="Times New Roman" w:cs="Times New Roman"/>
          <w:sz w:val="28"/>
          <w:szCs w:val="28"/>
        </w:rPr>
        <w:t xml:space="preserve"> коммерческого сектора </w:t>
      </w:r>
      <w:r w:rsidR="00351D5A">
        <w:rPr>
          <w:rFonts w:ascii="Times New Roman" w:hAnsi="Times New Roman" w:cs="Times New Roman"/>
          <w:sz w:val="28"/>
          <w:szCs w:val="28"/>
        </w:rPr>
        <w:t xml:space="preserve">в структуре экономики и </w:t>
      </w:r>
      <w:r w:rsidR="00B274D7">
        <w:rPr>
          <w:rFonts w:ascii="Times New Roman" w:hAnsi="Times New Roman" w:cs="Times New Roman"/>
          <w:sz w:val="28"/>
          <w:szCs w:val="28"/>
        </w:rPr>
        <w:t>завышенной дол</w:t>
      </w:r>
      <w:r w:rsidR="00351D5A">
        <w:rPr>
          <w:rFonts w:ascii="Times New Roman" w:hAnsi="Times New Roman" w:cs="Times New Roman"/>
          <w:sz w:val="28"/>
          <w:szCs w:val="28"/>
        </w:rPr>
        <w:t>е</w:t>
      </w:r>
      <w:r w:rsidR="00B274D7">
        <w:rPr>
          <w:rFonts w:ascii="Times New Roman" w:hAnsi="Times New Roman" w:cs="Times New Roman"/>
          <w:sz w:val="28"/>
          <w:szCs w:val="28"/>
        </w:rPr>
        <w:t xml:space="preserve"> </w:t>
      </w:r>
      <w:r w:rsidR="00351D5A">
        <w:rPr>
          <w:rFonts w:ascii="Times New Roman" w:hAnsi="Times New Roman" w:cs="Times New Roman"/>
          <w:sz w:val="28"/>
          <w:szCs w:val="28"/>
        </w:rPr>
        <w:t xml:space="preserve">бюджетного сектора, проблемам ухода налогоплательщиков в тень и др. Шел разговор и о перспективах развития региональной экономики – наращиванию направлений туризма, развития сельского хозяйства и т.д. В 2018 году в рейтинг в качестве крупнейших плательщиков налогов и взносов </w:t>
      </w:r>
      <w:r w:rsidR="00B31383">
        <w:rPr>
          <w:rFonts w:ascii="Times New Roman" w:hAnsi="Times New Roman" w:cs="Times New Roman"/>
          <w:sz w:val="28"/>
          <w:szCs w:val="28"/>
        </w:rPr>
        <w:t>в Алтайском крае попали 3 учебных заведения. Опорный Алтайский государственный университет</w:t>
      </w:r>
      <w:r w:rsidR="00351D5A" w:rsidRPr="00B274D7">
        <w:rPr>
          <w:rFonts w:ascii="Times New Roman" w:hAnsi="Times New Roman" w:cs="Times New Roman"/>
          <w:sz w:val="28"/>
          <w:szCs w:val="28"/>
        </w:rPr>
        <w:t xml:space="preserve"> </w:t>
      </w:r>
      <w:r w:rsidR="00B31383">
        <w:rPr>
          <w:rFonts w:ascii="Times New Roman" w:hAnsi="Times New Roman" w:cs="Times New Roman"/>
          <w:sz w:val="28"/>
          <w:szCs w:val="28"/>
        </w:rPr>
        <w:t>занял достойное  47-ое место</w:t>
      </w:r>
      <w:r w:rsidR="00351D5A" w:rsidRPr="00B274D7">
        <w:rPr>
          <w:rFonts w:ascii="Times New Roman" w:hAnsi="Times New Roman" w:cs="Times New Roman"/>
          <w:sz w:val="28"/>
          <w:szCs w:val="28"/>
        </w:rPr>
        <w:t>,</w:t>
      </w:r>
      <w:r w:rsidR="00B31383">
        <w:rPr>
          <w:rFonts w:ascii="Times New Roman" w:hAnsi="Times New Roman" w:cs="Times New Roman"/>
          <w:sz w:val="28"/>
          <w:szCs w:val="28"/>
        </w:rPr>
        <w:t xml:space="preserve"> напомню – среди ведущих предприятий </w:t>
      </w:r>
      <w:r w:rsidR="00910251">
        <w:rPr>
          <w:rFonts w:ascii="Times New Roman" w:hAnsi="Times New Roman" w:cs="Times New Roman"/>
          <w:sz w:val="28"/>
          <w:szCs w:val="28"/>
        </w:rPr>
        <w:t>и организаций региона,</w:t>
      </w:r>
      <w:r w:rsidR="00B31383">
        <w:rPr>
          <w:rFonts w:ascii="Times New Roman" w:hAnsi="Times New Roman" w:cs="Times New Roman"/>
          <w:sz w:val="28"/>
          <w:szCs w:val="28"/>
        </w:rPr>
        <w:t xml:space="preserve"> обогнав все другие вузы края. </w:t>
      </w:r>
      <w:r w:rsidR="00351D5A">
        <w:rPr>
          <w:rFonts w:ascii="Times New Roman" w:hAnsi="Times New Roman" w:cs="Times New Roman"/>
          <w:sz w:val="28"/>
          <w:szCs w:val="28"/>
        </w:rPr>
        <w:t>В этой связи, хотелось бы показать влияние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на развитие экономики и </w:t>
      </w:r>
      <w:r w:rsidR="00351D5A">
        <w:rPr>
          <w:rFonts w:ascii="Times New Roman" w:hAnsi="Times New Roman" w:cs="Times New Roman"/>
          <w:sz w:val="28"/>
          <w:szCs w:val="28"/>
        </w:rPr>
        <w:t>хозяйственные процессы города и региона.</w:t>
      </w:r>
    </w:p>
    <w:p w:rsidR="00157EBC" w:rsidRDefault="008D0FDC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Как показал рейтинг, самым крупным налого</w:t>
      </w:r>
      <w:r w:rsidR="00680B4D">
        <w:rPr>
          <w:rFonts w:ascii="Times New Roman" w:hAnsi="Times New Roman" w:cs="Times New Roman"/>
          <w:sz w:val="28"/>
          <w:szCs w:val="28"/>
        </w:rPr>
        <w:t>плательщиком среди алтайских вуз</w:t>
      </w:r>
      <w:r>
        <w:rPr>
          <w:rFonts w:ascii="Times New Roman" w:hAnsi="Times New Roman" w:cs="Times New Roman"/>
          <w:sz w:val="28"/>
          <w:szCs w:val="28"/>
        </w:rPr>
        <w:t xml:space="preserve">ов является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университет». Университет платит 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 бюджеты </w:t>
      </w:r>
      <w:r w:rsidR="00C02C8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и фонды 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всех уровней </w:t>
      </w:r>
      <w:r w:rsidR="00C02C8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более 318 млн. руб.</w:t>
      </w:r>
      <w:r w:rsidR="006357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год.</w:t>
      </w:r>
      <w:r w:rsidR="0031372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следствие отраслевой специфики о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сновная часть </w:t>
      </w:r>
      <w:r w:rsidR="00157E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обязательных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платежей</w:t>
      </w:r>
      <w:r w:rsidR="00157E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и отчислений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формируется за счёт </w:t>
      </w:r>
      <w:r w:rsidR="00157E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страховых взносов</w:t>
      </w:r>
      <w:r w:rsidR="00C02C8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и сумм НДФЛ, перечисляемых по поручению работников (94,37%)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7B45A5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Причем, учебные заведения выступают добросовестными плательщиками и никогда не уходят в тень!</w:t>
      </w:r>
    </w:p>
    <w:p w:rsidR="0050621E" w:rsidRDefault="00680B4D" w:rsidP="005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Несмотря на то, что вуз</w:t>
      </w:r>
      <w:r w:rsidR="001F77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ы </w:t>
      </w:r>
      <w:proofErr w:type="gramStart"/>
      <w:r w:rsidR="001F77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являются в большинстве государственными учреждениями в чистом виде они не являются</w:t>
      </w:r>
      <w:proofErr w:type="gramEnd"/>
      <w:r w:rsidR="001F77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бюджетными организациями</w:t>
      </w:r>
      <w:r w:rsidR="005062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 деятельность которых полностью финансируется за счет государства</w:t>
      </w:r>
      <w:r w:rsidR="001F77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 w:rsidR="005062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плане получения федеральных субсидий</w:t>
      </w:r>
      <w:r w:rsidR="001F778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вуз</w:t>
      </w:r>
      <w:r w:rsidR="00157E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ы выступают здесь в виде </w:t>
      </w:r>
      <w:r w:rsid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механизма</w:t>
      </w:r>
      <w:r w:rsidR="00157EB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межрегионального трансферта. </w:t>
      </w:r>
      <w:r w:rsidR="00D86B2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Ведя систематическую работу за бюджетный набор студентов через открытие актуальных образовательных программ, повышение качества образования и обоснование повышенных контрольных цифр приема они обеспечивают рост суммы поступлений федеральных средств в регион, которых бы в противном случае край не увидел.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Так, за 2018 год один только о</w:t>
      </w:r>
      <w:r w:rsidR="005062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порный Алтайский государственный университет обеспечил поступление субсидий на величину порядка </w:t>
      </w:r>
      <w:r w:rsidR="004228F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60</w:t>
      </w:r>
      <w:r w:rsidR="0050621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0 млн. руб.  </w:t>
      </w:r>
    </w:p>
    <w:p w:rsidR="00635740" w:rsidRDefault="0050621E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Также университеты фактически осуществляют и коммерческую деятельность с полным возмещением затрат, ведут системную р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аботу по наращиванию доходов. В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Алтайском государственном университете доля поступления внебюджетных доходов составляет порядка 40% в год от общей величины доходной части бюджета.</w:t>
      </w:r>
    </w:p>
    <w:p w:rsidR="00E045E6" w:rsidRDefault="00D53FAF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За счет этих средств университеты </w:t>
      </w:r>
      <w:r w:rsidR="00843EA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оказывают серьезную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поддержку</w:t>
      </w:r>
      <w:r w:rsidR="00843EA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экономике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региона через непосредственные закупки товаров и услуг. Так, Алтайский государственный университет в 2018 году осуществил закупок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на </w:t>
      </w:r>
      <w:r w:rsidRPr="00D53FA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346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Pr="00D53FA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6 млн.</w:t>
      </w:r>
      <w:r w:rsidRPr="00D53FA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руб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 (из которых 27,22% - коммунальные услуги и содержание имущественного комплекса, 27,42% - приобретение рекламных услуг, программного обеспечения и др., 24,89% закуп материальных запасов и продуктов питания)</w:t>
      </w:r>
      <w:r w:rsidR="00843EA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Тем самым стимулируется хозяйственная деятельность многих предприятий города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Барнаула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и 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Алтайского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края.</w:t>
      </w:r>
    </w:p>
    <w:p w:rsidR="001E5842" w:rsidRPr="001E5842" w:rsidRDefault="00557156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Немаловажно, что 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вуз</w:t>
      </w:r>
      <w:r w:rsidR="007F375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ы как научные центры формируют вокруг себя пояс малых инновационных предприятий, которые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также </w:t>
      </w:r>
      <w:r w:rsidR="007F375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являются полноценными хозяйствующими субъектами и налоговыми агентами.</w:t>
      </w:r>
      <w:r w:rsidR="00784A3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2018 году </w:t>
      </w:r>
      <w:proofErr w:type="gramStart"/>
      <w:r w:rsidR="00784A3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предприятия, созданные 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опорным </w:t>
      </w:r>
      <w:r w:rsidR="00784A3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Алтайским государственным университетом смогли</w:t>
      </w:r>
      <w:proofErr w:type="gramEnd"/>
      <w:r w:rsidR="00784A3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обеспечить реализацию наукоемкой продукции на сумму 72,6 млн. руб.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BA05E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плане усиления положительного социального эффекта можно отметить, что н</w:t>
      </w:r>
      <w:r w:rsidR="001E5842" w:rsidRP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а базе действующих </w:t>
      </w:r>
      <w:proofErr w:type="spellStart"/>
      <w:r w:rsidR="001E5842" w:rsidRP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МИПов</w:t>
      </w:r>
      <w:proofErr w:type="spellEnd"/>
      <w:r w:rsidR="001E5842" w:rsidRP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BA05E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лт</w:t>
      </w:r>
      <w:r w:rsidR="00BA05E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ГУ</w:t>
      </w:r>
      <w:proofErr w:type="spellEnd"/>
      <w:r w:rsidR="00BA05E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1E5842" w:rsidRP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создано более 60-ти рабочих мест.</w:t>
      </w:r>
    </w:p>
    <w:p w:rsidR="00BA05E4" w:rsidRDefault="00BA05E4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D53FAF" w:rsidRPr="00D53FAF" w:rsidRDefault="001E5861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Основная же часть финансовой подд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ержки региону обеспечивается вуз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ами через стимулирование потребительского спроса.</w:t>
      </w:r>
    </w:p>
    <w:p w:rsidR="003D2A4C" w:rsidRDefault="00CA7E34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</w:t>
      </w:r>
      <w:r w:rsid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сли учесть, что </w:t>
      </w:r>
      <w:proofErr w:type="gramStart"/>
      <w:r w:rsid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испол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няя майские указы Президента вуз</w:t>
      </w:r>
      <w:r w:rsid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ы призваны обеспечивать уровень</w:t>
      </w:r>
      <w:proofErr w:type="gramEnd"/>
      <w:r w:rsid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оплаты труда для профессорско-преподавательского состава на уровне не менее чем 200% от среднего уровня оплаты труда по региону, то многие университеты можно рассматривать в качестве эталона повышенных социальных обязательств.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Например,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величина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среднемесячной заработной платы среди профессорско-преподавательского состава в Алтайском государственном университ</w:t>
      </w:r>
      <w:r w:rsidR="00635740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ете по итогам 2018 года оказалась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на уровне 50,6 тыс. руб.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(д</w:t>
      </w:r>
      <w:r w:rsidR="00E045E6" w:rsidRP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ля сведения: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средн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яя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заработн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ая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плат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преподавателей образовательных организаций высшего профессионального образования в Алтайском крае за 2018 года составил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49,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71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тыс. рублей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)</w:t>
      </w:r>
      <w:r w:rsidR="00E045E6"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 о</w:t>
      </w:r>
      <w:r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тношение среднемесячной заработной платы ППС вуза к среднемесячному доходу от трудовой деятельности по Алтайскому краю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сформировалось на уровне </w:t>
      </w:r>
      <w:r w:rsidRPr="003D2A4C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221,8%.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E045E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BA05E4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 совокупности на </w:t>
      </w:r>
      <w:r w:rsidR="00AE59E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оплату труда университетом было направлено 1 020 млн. руб., и вся эта сумма пошла в семейные бюджеты работников университета. </w:t>
      </w:r>
    </w:p>
    <w:p w:rsidR="00635740" w:rsidRDefault="0050621E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Не следует забывать и о </w:t>
      </w:r>
      <w:r w:rsidR="002B19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величине средств на стипендии, которые выплачиваются за счет субсидий (в </w:t>
      </w:r>
      <w:proofErr w:type="spellStart"/>
      <w:r w:rsidR="002B19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лт</w:t>
      </w:r>
      <w:r w:rsidR="002B19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ГУ</w:t>
      </w:r>
      <w:proofErr w:type="spellEnd"/>
      <w:r w:rsidR="002B19E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2018 году эта сумма превысила 250 млн. руб.).</w:t>
      </w:r>
    </w:p>
    <w:p w:rsidR="00E722EB" w:rsidRDefault="004228F2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</w:t>
      </w:r>
      <w:r w:rsidR="00AE59E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акже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нужно </w:t>
      </w:r>
      <w:r w:rsidR="00AE59E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принимать во внимание то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что развитое высшее </w:t>
      </w:r>
      <w:r w:rsidR="00E722EB"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образовани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</w:t>
      </w:r>
      <w:r w:rsidR="00E722EB"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является важным аттракторо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</w:t>
      </w:r>
      <w:r w:rsidR="00E722EB"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для привлечения 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студентов в </w:t>
      </w:r>
      <w:r w:rsidR="000F66E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конкретный город и 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регион, обеспечивая тем самым </w:t>
      </w:r>
      <w:r w:rsidR="000F66E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как 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приток новых потребителей, так и </w:t>
      </w:r>
      <w:r w:rsidR="00AE59E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одновременно 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восполняя демографические потери региона</w:t>
      </w:r>
      <w:r w:rsidR="00B7159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(для Алтайского края, как и для многих других российских регионов это особенно важно, т.к. за 10 лет среднегодовая численность населения в Алтайском крае снизилась </w:t>
      </w:r>
      <w:r w:rsidR="000F66E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на 111,6 тыс. чел. </w:t>
      </w:r>
      <w:r w:rsidR="00B7159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 2</w:t>
      </w:r>
      <w:r w:rsidR="000F66E8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 453,5 тыс. чел. в 2008 г. до 2 341,9 тыс. чел в 2018 г.)</w:t>
      </w:r>
      <w:r w:rsidR="00E722EB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. </w:t>
      </w:r>
    </w:p>
    <w:p w:rsidR="00597B66" w:rsidRDefault="00AE59E1" w:rsidP="0031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 этой связи, о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соб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ый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интерес представляет 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привлечение иностранных студентов. </w:t>
      </w:r>
      <w:r w:rsidR="001910A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Именно с этим направлением связаны инициативы федерального проекта «Экспорт образование», реализуемого в рамках национального </w:t>
      </w:r>
      <w:r w:rsidR="001910AE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lastRenderedPageBreak/>
        <w:t xml:space="preserve">проекта «Образование» 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  <w:r w:rsidR="00597B6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 Алтайском государственном университете по состоянию на конец 2018 года обучалось</w:t>
      </w:r>
      <w:r w:rsidR="00597B66" w:rsidRP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1302 иностранных студентов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(</w:t>
      </w:r>
      <w:r w:rsidRP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 филиалы и колледж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) </w:t>
      </w:r>
      <w:r w:rsidR="00597B66" w:rsidRP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граждан ближнего и дальнего зарубежья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39 человек подготовительного факультета</w:t>
      </w:r>
      <w:r w:rsid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основном, это </w:t>
      </w:r>
      <w:r w:rsidR="00597B66" w:rsidRP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Казахстана, Таджикистана, Китая, Киргизии</w:t>
      </w:r>
      <w:r w:rsid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76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597B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 порядка 12% от контингента. </w:t>
      </w:r>
      <w:r w:rsid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других вуз</w:t>
      </w:r>
      <w:r w:rsidR="00191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края ситуация</w:t>
      </w:r>
      <w:r w:rsidR="00376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1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различна</w:t>
      </w:r>
      <w:r w:rsidR="0063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численность студентов </w:t>
      </w:r>
      <w:r w:rsidR="0050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варьируется</w:t>
      </w:r>
      <w:r w:rsidR="00191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06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10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Тем, не менее,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финансовый эффект от привлечения иностранных студентов </w:t>
      </w:r>
      <w:r w:rsidR="00376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региона 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весьма существенный. Он складывается из непосредственной оплаты за обучение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оценке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свыше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 млн. руб. в год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</w:t>
      </w:r>
      <w:r w:rsid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Алтайского края), а также и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8A6C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текущих затрат, которые несут студенты в период своего обучения.</w:t>
      </w:r>
    </w:p>
    <w:p w:rsidR="00976849" w:rsidRDefault="008A6C46" w:rsidP="0031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Считается, что иностранные студенты являются более активными потребителями по сравнению с местными студентами и тратят примерно на 25% больше.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стимулируют спрос на рынке аренды жилья, общественного питания, транспорт</w:t>
      </w:r>
      <w:r w:rsidR="0063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одежд</w:t>
      </w:r>
      <w:r w:rsidR="006357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В соответствии с </w:t>
      </w:r>
      <w:r w:rsidR="00784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исследованием, представленным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</w:t>
      </w:r>
      <w:r w:rsidR="00784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80B4D" w:rsidRP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Беляков С.А., Краснова Г.А. Экспорт высшего образования: состояние и перспективы в России и в мире // Университетское управление: практика и </w:t>
      </w:r>
      <w:r w:rsid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анализ, 2016. – № 6. – с. 26-34)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2012 г. 1 иностранный студент в Алтайском крае на проживание тратил в 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среднем</w:t>
      </w:r>
      <w:proofErr w:type="gramEnd"/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в месяц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Даже путем округленного расчета</w:t>
      </w:r>
      <w:r w:rsidR="00C418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корректировки на индекс потребительских цен </w:t>
      </w:r>
      <w:r w:rsidR="00680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конец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год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 величина состав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ляла 15 923 тыс. руб. в месяц или порядка 190 тыс. руб. в год. Таким образом, только </w:t>
      </w:r>
      <w:r w:rsidR="00784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иностранные 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слушатели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Алтайского государственного университета обеспечивают потребительский спрос в Алтайском крае 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ориентировочно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256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768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млн. руб. в год.</w:t>
      </w:r>
      <w:r w:rsidR="00E35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сравнить эту цифру с доходной частью бюджета города Барнаула, заложенной на 2018 год – 10 204, 29 млн. руб., то это величина эквивалентна </w:t>
      </w:r>
      <w:r w:rsidR="00FE3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5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2,5 %.</w:t>
      </w:r>
    </w:p>
    <w:p w:rsidR="00784A32" w:rsidRDefault="00784A32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же 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учитывать мультипликационный эффект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(увеличение положительного эффекта в доходах за счет хозяйственного оборота)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 то сумма</w:t>
      </w:r>
      <w:r w:rsidR="00E35C7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положительного эффекта для городской экономики</w:t>
      </w:r>
      <w:r w:rsidRPr="00B215D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увеличивается в 2-3 раза.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Суть </w:t>
      </w:r>
      <w:r w:rsidR="00E35C7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его</w:t>
      </w:r>
      <w:r w:rsidR="00B46CA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упрощенно можно свести к следующе</w:t>
      </w:r>
      <w:r w:rsidR="00B46CA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й ситуации: н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апример, </w:t>
      </w:r>
      <w:r w:rsidR="0031372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иностранные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студенты тратят деньги на кафе и развлечения, однако, одновременно они </w:t>
      </w:r>
      <w:r w:rsidR="00B46CA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устраиваются на работу в качестве официантов или разносчиков и получают, в свою очередь, из этих денег зарплату. Которая снова тратится на питание, кафе и т.д.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Таким образом, каждый первоначально вложенный рубль участвует в обороте и обеспечивает выручку несколько раз.</w:t>
      </w:r>
    </w:p>
    <w:p w:rsidR="00351D5A" w:rsidRDefault="00E35C72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Отдавая должное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перечисленны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м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фактор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ам</w:t>
      </w:r>
      <w:r w:rsidR="001E5842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многие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территории осознанно поддерживают развитие университетов. Причем</w:t>
      </w:r>
      <w:r w:rsidR="00351D5A">
        <w:rPr>
          <w:rFonts w:ascii="Times New Roman" w:hAnsi="Times New Roman" w:cs="Times New Roman"/>
          <w:sz w:val="28"/>
          <w:szCs w:val="28"/>
        </w:rPr>
        <w:t xml:space="preserve">, тенденция создания образовательных кластеров </w:t>
      </w:r>
      <w:r w:rsidR="00AE59E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мировы</w:t>
      </w:r>
      <w:r w:rsidR="00AE59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D5A">
        <w:rPr>
          <w:rFonts w:ascii="Times New Roman" w:hAnsi="Times New Roman" w:cs="Times New Roman"/>
          <w:sz w:val="28"/>
          <w:szCs w:val="28"/>
        </w:rPr>
        <w:t>тренд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E59E1">
        <w:rPr>
          <w:rFonts w:ascii="Times New Roman" w:hAnsi="Times New Roman" w:cs="Times New Roman"/>
          <w:sz w:val="28"/>
          <w:szCs w:val="28"/>
        </w:rPr>
        <w:t>м</w:t>
      </w:r>
      <w:r w:rsidR="00351D5A">
        <w:rPr>
          <w:rFonts w:ascii="Times New Roman" w:hAnsi="Times New Roman" w:cs="Times New Roman"/>
          <w:sz w:val="28"/>
          <w:szCs w:val="28"/>
        </w:rPr>
        <w:t xml:space="preserve"> развития.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351D5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ов рассматривают</w:t>
      </w:r>
      <w:r w:rsidR="00351D5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1D5A">
        <w:rPr>
          <w:rFonts w:ascii="Times New Roman" w:hAnsi="Times New Roman" w:cs="Times New Roman"/>
          <w:sz w:val="28"/>
          <w:szCs w:val="28"/>
        </w:rPr>
        <w:t xml:space="preserve"> как фундамент их экономического благосостояния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5BD">
        <w:rPr>
          <w:rFonts w:ascii="Times New Roman" w:hAnsi="Times New Roman" w:cs="Times New Roman"/>
          <w:sz w:val="28"/>
          <w:szCs w:val="28"/>
        </w:rPr>
        <w:t xml:space="preserve"> что выражается во всемерной поддержке инициатив университетов по </w:t>
      </w: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B515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  <w:r w:rsidR="00351D5A">
        <w:rPr>
          <w:rFonts w:ascii="Times New Roman" w:hAnsi="Times New Roman" w:cs="Times New Roman"/>
          <w:sz w:val="28"/>
          <w:szCs w:val="28"/>
        </w:rPr>
        <w:t xml:space="preserve"> </w:t>
      </w:r>
      <w:r w:rsidR="00B515BD">
        <w:rPr>
          <w:rFonts w:ascii="Times New Roman" w:hAnsi="Times New Roman" w:cs="Times New Roman"/>
          <w:sz w:val="28"/>
          <w:szCs w:val="28"/>
        </w:rPr>
        <w:t>Из числа ближайших положительных примеров можно</w:t>
      </w:r>
      <w:r w:rsidR="00680B4D">
        <w:rPr>
          <w:rFonts w:ascii="Times New Roman" w:hAnsi="Times New Roman" w:cs="Times New Roman"/>
          <w:sz w:val="28"/>
          <w:szCs w:val="28"/>
        </w:rPr>
        <w:t xml:space="preserve"> привести города</w:t>
      </w:r>
      <w:r w:rsidR="00B515BD">
        <w:rPr>
          <w:rFonts w:ascii="Times New Roman" w:hAnsi="Times New Roman" w:cs="Times New Roman"/>
          <w:sz w:val="28"/>
          <w:szCs w:val="28"/>
        </w:rPr>
        <w:t xml:space="preserve"> Томск и Новосибирск.</w:t>
      </w:r>
    </w:p>
    <w:p w:rsidR="00351D5A" w:rsidRDefault="00E35C72" w:rsidP="0031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Представляется, что </w:t>
      </w:r>
      <w:r w:rsidR="00680B4D">
        <w:rPr>
          <w:rFonts w:ascii="Times New Roman" w:hAnsi="Times New Roman" w:cs="Times New Roman"/>
          <w:sz w:val="28"/>
          <w:szCs w:val="28"/>
        </w:rPr>
        <w:t>и в других регионах</w:t>
      </w:r>
      <w:r w:rsidR="00B515BD">
        <w:rPr>
          <w:rFonts w:ascii="Times New Roman" w:hAnsi="Times New Roman" w:cs="Times New Roman"/>
          <w:sz w:val="28"/>
          <w:szCs w:val="28"/>
        </w:rPr>
        <w:t xml:space="preserve"> </w:t>
      </w:r>
      <w:r w:rsidR="00EB30FE">
        <w:rPr>
          <w:rFonts w:ascii="Times New Roman" w:hAnsi="Times New Roman" w:cs="Times New Roman"/>
          <w:sz w:val="28"/>
          <w:szCs w:val="28"/>
        </w:rPr>
        <w:t>целесообразно</w:t>
      </w:r>
      <w:r w:rsidR="00B515BD">
        <w:rPr>
          <w:rFonts w:ascii="Times New Roman" w:hAnsi="Times New Roman" w:cs="Times New Roman"/>
          <w:sz w:val="28"/>
          <w:szCs w:val="28"/>
        </w:rPr>
        <w:t xml:space="preserve"> сделать ставку на такую стратегию</w:t>
      </w:r>
      <w:r w:rsidR="002B19EF">
        <w:rPr>
          <w:rFonts w:ascii="Times New Roman" w:hAnsi="Times New Roman" w:cs="Times New Roman"/>
          <w:sz w:val="28"/>
          <w:szCs w:val="28"/>
        </w:rPr>
        <w:t>, развивать университетскую среду</w:t>
      </w:r>
      <w:r w:rsidR="00B515BD">
        <w:rPr>
          <w:rFonts w:ascii="Times New Roman" w:hAnsi="Times New Roman" w:cs="Times New Roman"/>
          <w:sz w:val="28"/>
          <w:szCs w:val="28"/>
        </w:rPr>
        <w:t>.</w:t>
      </w:r>
      <w:r w:rsidR="002B19EF">
        <w:rPr>
          <w:rFonts w:ascii="Times New Roman" w:hAnsi="Times New Roman" w:cs="Times New Roman"/>
          <w:sz w:val="28"/>
          <w:szCs w:val="28"/>
        </w:rPr>
        <w:t xml:space="preserve"> </w:t>
      </w:r>
      <w:r w:rsidR="00313722">
        <w:rPr>
          <w:rFonts w:ascii="Times New Roman" w:hAnsi="Times New Roman" w:cs="Times New Roman"/>
          <w:sz w:val="28"/>
          <w:szCs w:val="28"/>
        </w:rPr>
        <w:t>В частности, е</w:t>
      </w:r>
      <w:r w:rsidR="00B515BD">
        <w:rPr>
          <w:rFonts w:ascii="Times New Roman" w:hAnsi="Times New Roman" w:cs="Times New Roman"/>
          <w:sz w:val="28"/>
          <w:szCs w:val="28"/>
        </w:rPr>
        <w:t xml:space="preserve">сли говорить об </w:t>
      </w:r>
      <w:r w:rsidR="001E062F">
        <w:rPr>
          <w:rFonts w:ascii="Times New Roman" w:hAnsi="Times New Roman" w:cs="Times New Roman"/>
          <w:sz w:val="28"/>
          <w:szCs w:val="28"/>
        </w:rPr>
        <w:t>о</w:t>
      </w:r>
      <w:r w:rsidR="00313722">
        <w:rPr>
          <w:rFonts w:ascii="Times New Roman" w:hAnsi="Times New Roman" w:cs="Times New Roman"/>
          <w:sz w:val="28"/>
          <w:szCs w:val="28"/>
        </w:rPr>
        <w:t xml:space="preserve">порном </w:t>
      </w:r>
      <w:r w:rsidR="00B515BD">
        <w:rPr>
          <w:rFonts w:ascii="Times New Roman" w:hAnsi="Times New Roman" w:cs="Times New Roman"/>
          <w:sz w:val="28"/>
          <w:szCs w:val="28"/>
        </w:rPr>
        <w:t>Алтайском государственном университете, то можно констатировать, что на данный момент университет достиг пределов своего роста</w:t>
      </w:r>
      <w:r w:rsidR="00AE59E1">
        <w:rPr>
          <w:rFonts w:ascii="Times New Roman" w:hAnsi="Times New Roman" w:cs="Times New Roman"/>
          <w:sz w:val="28"/>
          <w:szCs w:val="28"/>
        </w:rPr>
        <w:t>. Ч</w:t>
      </w:r>
      <w:r w:rsidR="00B515BD">
        <w:rPr>
          <w:rFonts w:ascii="Times New Roman" w:hAnsi="Times New Roman" w:cs="Times New Roman"/>
          <w:sz w:val="28"/>
          <w:szCs w:val="28"/>
        </w:rPr>
        <w:t>тобы развивать новые образовательные программы, привлекательные для иногородних и иностранных студентов, и тем самым повысить их численность</w:t>
      </w:r>
      <w:r w:rsidR="00AE59E1">
        <w:rPr>
          <w:rFonts w:ascii="Times New Roman" w:hAnsi="Times New Roman" w:cs="Times New Roman"/>
          <w:sz w:val="28"/>
          <w:szCs w:val="28"/>
        </w:rPr>
        <w:t>,</w:t>
      </w:r>
      <w:r w:rsidR="00B515BD">
        <w:rPr>
          <w:rFonts w:ascii="Times New Roman" w:hAnsi="Times New Roman" w:cs="Times New Roman"/>
          <w:sz w:val="28"/>
          <w:szCs w:val="28"/>
        </w:rPr>
        <w:t xml:space="preserve"> не хватает учебных площадей, нет возможностей расшир</w:t>
      </w:r>
      <w:r w:rsidR="00AE59E1">
        <w:rPr>
          <w:rFonts w:ascii="Times New Roman" w:hAnsi="Times New Roman" w:cs="Times New Roman"/>
          <w:sz w:val="28"/>
          <w:szCs w:val="28"/>
        </w:rPr>
        <w:t>и</w:t>
      </w:r>
      <w:r w:rsidR="00B515BD">
        <w:rPr>
          <w:rFonts w:ascii="Times New Roman" w:hAnsi="Times New Roman" w:cs="Times New Roman"/>
          <w:sz w:val="28"/>
          <w:szCs w:val="28"/>
        </w:rPr>
        <w:t xml:space="preserve">ть лабораторную базу, </w:t>
      </w:r>
      <w:r w:rsidR="00EC47EC">
        <w:rPr>
          <w:rFonts w:ascii="Times New Roman" w:hAnsi="Times New Roman" w:cs="Times New Roman"/>
          <w:sz w:val="28"/>
          <w:szCs w:val="28"/>
        </w:rPr>
        <w:t>существует дефицит</w:t>
      </w:r>
      <w:r w:rsidR="00B515BD">
        <w:rPr>
          <w:rFonts w:ascii="Times New Roman" w:hAnsi="Times New Roman" w:cs="Times New Roman"/>
          <w:sz w:val="28"/>
          <w:szCs w:val="28"/>
        </w:rPr>
        <w:t xml:space="preserve"> общежитий современного уровня</w:t>
      </w:r>
      <w:r w:rsidR="00EB30FE">
        <w:rPr>
          <w:rFonts w:ascii="Times New Roman" w:hAnsi="Times New Roman" w:cs="Times New Roman"/>
          <w:sz w:val="28"/>
          <w:szCs w:val="28"/>
        </w:rPr>
        <w:t xml:space="preserve"> – вместимость общежитий составляет все</w:t>
      </w:r>
      <w:r w:rsidR="00EC47EC">
        <w:rPr>
          <w:rFonts w:ascii="Times New Roman" w:hAnsi="Times New Roman" w:cs="Times New Roman"/>
          <w:sz w:val="28"/>
          <w:szCs w:val="28"/>
        </w:rPr>
        <w:t>го</w:t>
      </w:r>
      <w:r w:rsidR="00EB30FE">
        <w:rPr>
          <w:rFonts w:ascii="Times New Roman" w:hAnsi="Times New Roman" w:cs="Times New Roman"/>
          <w:sz w:val="28"/>
          <w:szCs w:val="28"/>
        </w:rPr>
        <w:t xml:space="preserve"> 1800 мест на 12 336 студентов. </w:t>
      </w:r>
      <w:r w:rsidR="00AE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EF" w:rsidRDefault="002B19EF" w:rsidP="00EB3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шаги в этом направлении сделаны: </w:t>
      </w:r>
      <w:r w:rsidR="00AE59E1">
        <w:rPr>
          <w:rFonts w:ascii="Times New Roman" w:hAnsi="Times New Roman" w:cs="Times New Roman"/>
          <w:sz w:val="28"/>
          <w:szCs w:val="28"/>
        </w:rPr>
        <w:t>на уровне федерального министерства Алтайскому государственному университету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0FE">
        <w:rPr>
          <w:rFonts w:ascii="Times New Roman" w:hAnsi="Times New Roman" w:cs="Times New Roman"/>
          <w:sz w:val="28"/>
          <w:szCs w:val="28"/>
        </w:rPr>
        <w:t xml:space="preserve">было </w:t>
      </w:r>
      <w:r w:rsidR="00AE59E1">
        <w:rPr>
          <w:rFonts w:ascii="Times New Roman" w:hAnsi="Times New Roman" w:cs="Times New Roman"/>
          <w:sz w:val="28"/>
          <w:szCs w:val="28"/>
        </w:rPr>
        <w:t>одобр</w:t>
      </w:r>
      <w:r w:rsidR="00EB30FE">
        <w:rPr>
          <w:rFonts w:ascii="Times New Roman" w:hAnsi="Times New Roman" w:cs="Times New Roman"/>
          <w:sz w:val="28"/>
          <w:szCs w:val="28"/>
        </w:rPr>
        <w:t>ено</w:t>
      </w:r>
      <w:r w:rsidR="00AE59E1">
        <w:rPr>
          <w:rFonts w:ascii="Times New Roman" w:hAnsi="Times New Roman" w:cs="Times New Roman"/>
          <w:sz w:val="28"/>
          <w:szCs w:val="28"/>
        </w:rPr>
        <w:t xml:space="preserve"> задание на проектирование нового учебного корпуса</w:t>
      </w:r>
      <w:r>
        <w:rPr>
          <w:rFonts w:ascii="Times New Roman" w:hAnsi="Times New Roman" w:cs="Times New Roman"/>
          <w:sz w:val="28"/>
          <w:szCs w:val="28"/>
        </w:rPr>
        <w:t>. Существует возможность принять участие в программе на строительство дополнительных общежитий. Реализация подобных проектов позволит при</w:t>
      </w:r>
      <w:r w:rsidR="00C4184D">
        <w:rPr>
          <w:rFonts w:ascii="Times New Roman" w:hAnsi="Times New Roman" w:cs="Times New Roman"/>
          <w:sz w:val="28"/>
          <w:szCs w:val="28"/>
        </w:rPr>
        <w:t>влечь дополнительных студентов из</w:t>
      </w:r>
      <w:r>
        <w:rPr>
          <w:rFonts w:ascii="Times New Roman" w:hAnsi="Times New Roman" w:cs="Times New Roman"/>
          <w:sz w:val="28"/>
          <w:szCs w:val="28"/>
        </w:rPr>
        <w:t xml:space="preserve"> разных регионов. Н</w:t>
      </w:r>
      <w:r w:rsidRPr="002B19EF">
        <w:rPr>
          <w:rFonts w:ascii="Times New Roman" w:hAnsi="Times New Roman" w:cs="Times New Roman"/>
          <w:sz w:val="28"/>
          <w:szCs w:val="28"/>
        </w:rPr>
        <w:t>аличие современной материально-технической базы оказывает существенное влияние на имидж современного университета и его выбор в качестве места будущей учебы.</w:t>
      </w:r>
      <w:r w:rsidRPr="00CB511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нужно использовать все возможности для получения государственной поддержки для </w:t>
      </w:r>
      <w:r w:rsidR="001E06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порного Алтайского государственного университета, так и для других ВУЗов края. И здесь необходимо всемерное содействие со стороны региональной и местной власти.</w:t>
      </w:r>
    </w:p>
    <w:p w:rsidR="00EB30FE" w:rsidRPr="00EB30FE" w:rsidRDefault="00EB30FE" w:rsidP="00EB3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совместными усилиями руководства </w:t>
      </w:r>
      <w:r w:rsidR="00680B4D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B4D">
        <w:rPr>
          <w:rFonts w:ascii="Times New Roman" w:hAnsi="Times New Roman" w:cs="Times New Roman"/>
          <w:sz w:val="28"/>
          <w:szCs w:val="28"/>
        </w:rPr>
        <w:t>муниципалитетов и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можно решить жизненно важную задачу:</w:t>
      </w:r>
      <w:r w:rsidRPr="00EB30FE">
        <w:rPr>
          <w:rFonts w:ascii="Times New Roman" w:hAnsi="Times New Roman" w:cs="Times New Roman"/>
          <w:sz w:val="28"/>
          <w:szCs w:val="28"/>
        </w:rPr>
        <w:t xml:space="preserve"> снизить отток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80B4D">
        <w:rPr>
          <w:rFonts w:ascii="Times New Roman" w:hAnsi="Times New Roman" w:cs="Times New Roman"/>
          <w:sz w:val="28"/>
          <w:szCs w:val="28"/>
        </w:rPr>
        <w:t>молодежи из провинции</w:t>
      </w:r>
      <w:r>
        <w:rPr>
          <w:rFonts w:ascii="Times New Roman" w:hAnsi="Times New Roman" w:cs="Times New Roman"/>
          <w:sz w:val="28"/>
          <w:szCs w:val="28"/>
        </w:rPr>
        <w:t xml:space="preserve"> и обесп</w:t>
      </w:r>
      <w:r w:rsidR="00680B4D">
        <w:rPr>
          <w:rFonts w:ascii="Times New Roman" w:hAnsi="Times New Roman" w:cs="Times New Roman"/>
          <w:sz w:val="28"/>
          <w:szCs w:val="28"/>
        </w:rPr>
        <w:t>ечить приток из-за пределов республики, области или края</w:t>
      </w:r>
      <w:r w:rsidRPr="00EB30FE">
        <w:rPr>
          <w:rFonts w:ascii="Times New Roman" w:hAnsi="Times New Roman" w:cs="Times New Roman"/>
          <w:sz w:val="28"/>
          <w:szCs w:val="28"/>
        </w:rPr>
        <w:t xml:space="preserve">. </w:t>
      </w:r>
      <w:r w:rsidR="002B19EF">
        <w:rPr>
          <w:rFonts w:ascii="Times New Roman" w:hAnsi="Times New Roman" w:cs="Times New Roman"/>
          <w:sz w:val="28"/>
          <w:szCs w:val="28"/>
        </w:rPr>
        <w:t>Надо</w:t>
      </w:r>
      <w:r w:rsidRPr="00EB30FE">
        <w:rPr>
          <w:rFonts w:ascii="Times New Roman" w:hAnsi="Times New Roman" w:cs="Times New Roman"/>
          <w:sz w:val="28"/>
          <w:szCs w:val="28"/>
        </w:rPr>
        <w:t xml:space="preserve"> поднять престиж региона и высшего образования, чтобы </w:t>
      </w:r>
      <w:r>
        <w:rPr>
          <w:rFonts w:ascii="Times New Roman" w:hAnsi="Times New Roman" w:cs="Times New Roman"/>
          <w:sz w:val="28"/>
          <w:szCs w:val="28"/>
        </w:rPr>
        <w:t xml:space="preserve">абитуриенты </w:t>
      </w:r>
      <w:r w:rsidR="00680B4D">
        <w:rPr>
          <w:rFonts w:ascii="Times New Roman" w:hAnsi="Times New Roman" w:cs="Times New Roman"/>
          <w:sz w:val="28"/>
          <w:szCs w:val="28"/>
        </w:rPr>
        <w:t>видели: поступив</w:t>
      </w:r>
      <w:r w:rsidRPr="00EB30FE">
        <w:rPr>
          <w:rFonts w:ascii="Times New Roman" w:hAnsi="Times New Roman" w:cs="Times New Roman"/>
          <w:sz w:val="28"/>
          <w:szCs w:val="28"/>
        </w:rPr>
        <w:t xml:space="preserve"> в </w:t>
      </w:r>
      <w:r w:rsidR="00680B4D">
        <w:rPr>
          <w:rFonts w:ascii="Times New Roman" w:hAnsi="Times New Roman" w:cs="Times New Roman"/>
          <w:sz w:val="28"/>
          <w:szCs w:val="28"/>
        </w:rPr>
        <w:t>региональный университет,</w:t>
      </w:r>
      <w:r w:rsidR="00EC47EC">
        <w:rPr>
          <w:rFonts w:ascii="Times New Roman" w:hAnsi="Times New Roman" w:cs="Times New Roman"/>
          <w:sz w:val="28"/>
          <w:szCs w:val="28"/>
        </w:rPr>
        <w:t xml:space="preserve"> </w:t>
      </w:r>
      <w:r w:rsidRPr="00EB30FE">
        <w:rPr>
          <w:rFonts w:ascii="Times New Roman" w:hAnsi="Times New Roman" w:cs="Times New Roman"/>
          <w:sz w:val="28"/>
          <w:szCs w:val="28"/>
        </w:rPr>
        <w:t>они получат самые современные знания, возможность устроиться на интересную работу с высокой зарплатой, позволяющей активно путешествовать, интересно проводить свой досуг.</w:t>
      </w:r>
    </w:p>
    <w:p w:rsidR="00B215DD" w:rsidRDefault="00B215DD">
      <w:pPr>
        <w:rPr>
          <w:rFonts w:ascii="Times New Roman" w:hAnsi="Times New Roman" w:cs="Times New Roman"/>
          <w:sz w:val="28"/>
          <w:szCs w:val="28"/>
        </w:rPr>
      </w:pPr>
    </w:p>
    <w:p w:rsidR="001E062F" w:rsidRDefault="001E062F" w:rsidP="001E062F">
      <w:pP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</w:p>
    <w:p w:rsidR="001E062F" w:rsidRPr="001E062F" w:rsidRDefault="001E062F" w:rsidP="009005A3">
      <w:pPr>
        <w:jc w:val="right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1E062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Сергей Николаевич </w:t>
      </w:r>
      <w:r w:rsidR="00680B4D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Бочаров</w:t>
      </w:r>
      <w:r w:rsidR="009005A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,</w:t>
      </w:r>
    </w:p>
    <w:p w:rsidR="001E062F" w:rsidRPr="001E062F" w:rsidRDefault="009005A3" w:rsidP="009005A3">
      <w:pPr>
        <w:jc w:val="right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ректора Алтайского</w:t>
      </w:r>
      <w:r w:rsidR="001E062F" w:rsidRPr="001E062F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 </w:t>
      </w:r>
    </w:p>
    <w:p w:rsidR="001E062F" w:rsidRPr="001E062F" w:rsidRDefault="009005A3" w:rsidP="009005A3">
      <w:pPr>
        <w:jc w:val="right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государственного университета</w:t>
      </w:r>
    </w:p>
    <w:sectPr w:rsidR="001E062F" w:rsidRPr="001E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51A"/>
    <w:multiLevelType w:val="hybridMultilevel"/>
    <w:tmpl w:val="51D8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D"/>
    <w:rsid w:val="00071628"/>
    <w:rsid w:val="000F66E8"/>
    <w:rsid w:val="00157EBC"/>
    <w:rsid w:val="00160FA9"/>
    <w:rsid w:val="001910AE"/>
    <w:rsid w:val="001E062F"/>
    <w:rsid w:val="001E5842"/>
    <w:rsid w:val="001E5861"/>
    <w:rsid w:val="001F778F"/>
    <w:rsid w:val="002A1572"/>
    <w:rsid w:val="002B19EF"/>
    <w:rsid w:val="00313722"/>
    <w:rsid w:val="00351D5A"/>
    <w:rsid w:val="00372D45"/>
    <w:rsid w:val="00376DEF"/>
    <w:rsid w:val="003D2A4C"/>
    <w:rsid w:val="004228F2"/>
    <w:rsid w:val="004B0B90"/>
    <w:rsid w:val="0050621E"/>
    <w:rsid w:val="00557156"/>
    <w:rsid w:val="00597B66"/>
    <w:rsid w:val="005E59B0"/>
    <w:rsid w:val="00635740"/>
    <w:rsid w:val="00641CCA"/>
    <w:rsid w:val="00680B4D"/>
    <w:rsid w:val="00784A32"/>
    <w:rsid w:val="007B45A5"/>
    <w:rsid w:val="007F3753"/>
    <w:rsid w:val="00804F0B"/>
    <w:rsid w:val="00843EAA"/>
    <w:rsid w:val="008A6C46"/>
    <w:rsid w:val="008D0FDC"/>
    <w:rsid w:val="009005A3"/>
    <w:rsid w:val="00910251"/>
    <w:rsid w:val="00926011"/>
    <w:rsid w:val="00976849"/>
    <w:rsid w:val="00AE59E1"/>
    <w:rsid w:val="00B215DD"/>
    <w:rsid w:val="00B274D7"/>
    <w:rsid w:val="00B31383"/>
    <w:rsid w:val="00B46CA6"/>
    <w:rsid w:val="00B515BD"/>
    <w:rsid w:val="00B71598"/>
    <w:rsid w:val="00BA05E4"/>
    <w:rsid w:val="00C02C82"/>
    <w:rsid w:val="00C4184D"/>
    <w:rsid w:val="00CA7E34"/>
    <w:rsid w:val="00CB5117"/>
    <w:rsid w:val="00D0332D"/>
    <w:rsid w:val="00D531D0"/>
    <w:rsid w:val="00D53FAF"/>
    <w:rsid w:val="00D86B2B"/>
    <w:rsid w:val="00E045E6"/>
    <w:rsid w:val="00E35C72"/>
    <w:rsid w:val="00E722EB"/>
    <w:rsid w:val="00EB30FE"/>
    <w:rsid w:val="00EC47EC"/>
    <w:rsid w:val="00EE4181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E34"/>
    <w:rPr>
      <w:color w:val="0563C1" w:themeColor="hyperlink"/>
      <w:u w:val="single"/>
    </w:rPr>
  </w:style>
  <w:style w:type="paragraph" w:customStyle="1" w:styleId="TNR14-1">
    <w:name w:val="TNR14-1"/>
    <w:basedOn w:val="a"/>
    <w:autoRedefine/>
    <w:qFormat/>
    <w:rsid w:val="00EB30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1F77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21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E34"/>
    <w:rPr>
      <w:color w:val="0563C1" w:themeColor="hyperlink"/>
      <w:u w:val="single"/>
    </w:rPr>
  </w:style>
  <w:style w:type="paragraph" w:customStyle="1" w:styleId="TNR14-1">
    <w:name w:val="TNR14-1"/>
    <w:basedOn w:val="a"/>
    <w:autoRedefine/>
    <w:qFormat/>
    <w:rsid w:val="00EB30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1F7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2F69-4FFD-4F2B-B831-0E036D1D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Сергей Николаевич</dc:creator>
  <cp:lastModifiedBy>Козерлыга Алексей Григорьевич</cp:lastModifiedBy>
  <cp:revision>2</cp:revision>
  <dcterms:created xsi:type="dcterms:W3CDTF">2019-03-25T02:16:00Z</dcterms:created>
  <dcterms:modified xsi:type="dcterms:W3CDTF">2019-03-25T02:16:00Z</dcterms:modified>
</cp:coreProperties>
</file>