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val="en-US" w:eastAsia="ru-RU"/>
        </w:rPr>
      </w:pPr>
      <w:r w:rsidRPr="004E6635">
        <w:rPr>
          <w:noProof/>
          <w:sz w:val="28"/>
          <w:szCs w:val="28"/>
          <w:lang w:eastAsia="ru-RU"/>
        </w:rPr>
        <w:drawing>
          <wp:inline distT="0" distB="0" distL="0" distR="0">
            <wp:extent cx="1431925" cy="1397635"/>
            <wp:effectExtent l="19050" t="0" r="0" b="0"/>
            <wp:docPr id="16" name="Рисунок 16" descr="http://www.law.asu.ru/images/2logo150new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law.asu.ru/images/2logo150new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1925" cy="13976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Министерство науки и высшего образования Российской Федерации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ФГБОУ ВО «Алтайский государственный университет»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right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noProof/>
          <w:sz w:val="28"/>
          <w:szCs w:val="28"/>
          <w:lang w:eastAsia="ru-RU"/>
        </w:rPr>
        <w:drawing>
          <wp:inline distT="0" distB="0" distL="0" distR="0">
            <wp:extent cx="5940425" cy="2346558"/>
            <wp:effectExtent l="19050" t="0" r="3175" b="0"/>
            <wp:docPr id="19" name="Рисунок 19" descr="http://www.law.asu.ru/images/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http://www.law.asu.ru/images/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3465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  <w:lang w:eastAsia="ru-RU"/>
        </w:rPr>
        <w:t xml:space="preserve">Уважаемые коллеги, 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i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приглашаем Вас принять участие во всероссийской конференции с международным участием</w:t>
      </w: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ab/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«БУДУЩЕЕ ЦИВИЛИСТИЧЕСКОГО ПРОЦЕССА»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19-21  октября 2022 года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 w:rsidRPr="004E663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>На конференцию приглашены ведущие правоведы высших профессиональных образовательных учреждений и научно-исследовательских институтов г. Москвы, Санкт-Петербурга, Екатеринбурга, Воронежа, Саратова, Томска и других городов Российской Федерации и специалисты из иностранных государств.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eastAsia="ru-RU"/>
        </w:rPr>
        <w:t> </w:t>
      </w:r>
    </w:p>
    <w:p w:rsidR="00216CCF" w:rsidRPr="004E6635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>В рамках конференции планируется обсудить следующие вопросы:</w:t>
      </w:r>
    </w:p>
    <w:p w:rsidR="004E6635" w:rsidRPr="004E6635" w:rsidRDefault="00BA734B" w:rsidP="004E6635">
      <w:pPr>
        <w:pStyle w:val="a9"/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 </w:t>
      </w:r>
    </w:p>
    <w:p w:rsidR="004E6635" w:rsidRPr="00D36AC5" w:rsidRDefault="00D36AC5" w:rsidP="00D36AC5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•</w:t>
      </w:r>
      <w:r w:rsidR="00BA734B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4E6635" w:rsidRPr="00D36AC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>Цифровизация гражданского процесса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Генеалогия цивилистического процесса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Единство и дифференциация гражданского процесса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Трансформация гражданской процессуальной формы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Гражданский процессуальный режим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Универсальность исковой формы защиты, новые виды исков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Упрощенные формы гражданского процесса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Проблемы доказывания и доказательств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Гражданская процессуальная ответственность и злоупотребления процессуальными правами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Система пересмотра судебных актов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  <w:t>Международные стандарты правосудия и национальный гражданский процесс: современное состояние и перспективы развития</w:t>
      </w:r>
    </w:p>
    <w:p w:rsidR="004E6635" w:rsidRPr="00BA734B" w:rsidRDefault="00BA734B" w:rsidP="00BA734B">
      <w:pPr>
        <w:shd w:val="clear" w:color="auto" w:fill="FFFFFF"/>
        <w:spacing w:after="0" w:line="240" w:lineRule="auto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• 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>Иные</w:t>
      </w:r>
      <w:r w:rsidR="00216CCF" w:rsidRPr="00BA734B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вопросы по проблема</w:t>
      </w:r>
      <w:r w:rsidR="004E6635" w:rsidRPr="00BA734B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>м цивилистического процесса</w:t>
      </w:r>
    </w:p>
    <w:p w:rsidR="004E6635" w:rsidRPr="004E6635" w:rsidRDefault="004E6635" w:rsidP="004E663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eastAsia="ru-RU"/>
        </w:rPr>
      </w:pPr>
    </w:p>
    <w:p w:rsidR="004E6635" w:rsidRPr="004E6635" w:rsidRDefault="004E6635" w:rsidP="004E6635">
      <w:pPr>
        <w:shd w:val="clear" w:color="auto" w:fill="FFFFFF"/>
        <w:spacing w:after="0" w:line="240" w:lineRule="auto"/>
        <w:ind w:left="142"/>
        <w:jc w:val="both"/>
        <w:textAlignment w:val="baseline"/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eastAsia="ru-RU"/>
        </w:rPr>
      </w:pPr>
    </w:p>
    <w:p w:rsidR="004E6635" w:rsidRDefault="00216CCF" w:rsidP="004E6635">
      <w:pPr>
        <w:shd w:val="clear" w:color="auto" w:fill="FFFFFF"/>
        <w:spacing w:after="0" w:line="240" w:lineRule="auto"/>
        <w:ind w:left="142" w:firstLine="360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Montserrat" w:eastAsia="Times New Roman" w:hAnsi="Montserrat" w:cs="Times New Roman"/>
          <w:bCs/>
          <w:color w:val="212529"/>
          <w:sz w:val="28"/>
          <w:szCs w:val="28"/>
          <w:lang w:eastAsia="ru-RU"/>
        </w:rPr>
        <w:t>Для участия в конференции просим Вас </w:t>
      </w:r>
      <w:r w:rsidRPr="004E6635">
        <w:rPr>
          <w:rFonts w:ascii="Montserrat" w:eastAsia="Times New Roman" w:hAnsi="Montserrat" w:cs="Times New Roman"/>
          <w:bCs/>
          <w:color w:val="212529"/>
          <w:sz w:val="28"/>
          <w:szCs w:val="28"/>
          <w:u w:val="single"/>
          <w:lang w:eastAsia="ru-RU"/>
        </w:rPr>
        <w:t xml:space="preserve">не позднее </w:t>
      </w:r>
      <w:r w:rsidR="004E6635"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>21.00 ч.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 xml:space="preserve"> </w:t>
      </w:r>
      <w:r w:rsidR="004E6635"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 xml:space="preserve">01 октября 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u w:val="single"/>
          <w:lang w:eastAsia="ru-RU"/>
        </w:rPr>
        <w:t>2022 года</w:t>
      </w:r>
      <w:r w:rsidRPr="004E6635">
        <w:rPr>
          <w:rFonts w:ascii="Montserrat" w:eastAsia="Times New Roman" w:hAnsi="Montserrat" w:cs="Times New Roman"/>
          <w:b/>
          <w:bCs/>
          <w:color w:val="212529"/>
          <w:sz w:val="28"/>
          <w:szCs w:val="28"/>
          <w:lang w:eastAsia="ru-RU"/>
        </w:rPr>
        <w:t> </w:t>
      </w:r>
      <w:r w:rsidR="004E663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заполнить </w:t>
      </w:r>
      <w:r w:rsidR="004E6635" w:rsidRPr="004E663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регистрационную форму и выслать ее на </w:t>
      </w:r>
      <w:r w:rsidR="004E663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один из указанных эл. адресов: </w:t>
      </w:r>
      <w:hyperlink r:id="rId9" w:history="1">
        <w:r w:rsidR="004E6635" w:rsidRPr="00B34F90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val="en-US" w:eastAsia="ru-RU"/>
          </w:rPr>
          <w:t>jerdel</w:t>
        </w:r>
        <w:r w:rsidR="004E6635" w:rsidRPr="004E6635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eastAsia="ru-RU"/>
          </w:rPr>
          <w:t>80@</w:t>
        </w:r>
        <w:r w:rsidR="004E6635" w:rsidRPr="00B34F90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4E6635" w:rsidRPr="004E6635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4E6635" w:rsidRPr="00B34F90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4E6635"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; </w:t>
      </w:r>
      <w:hyperlink r:id="rId10" w:history="1">
        <w:r w:rsidR="004E6635" w:rsidRPr="00B34F90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eastAsia="ru-RU"/>
          </w:rPr>
          <w:t>evgen_timofeev_97@mail.ru</w:t>
        </w:r>
      </w:hyperlink>
    </w:p>
    <w:p w:rsidR="004E6635" w:rsidRDefault="004E6635" w:rsidP="004E6635">
      <w:pPr>
        <w:shd w:val="clear" w:color="auto" w:fill="FFFFFF"/>
        <w:spacing w:after="0" w:line="240" w:lineRule="auto"/>
        <w:ind w:left="142" w:firstLine="360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EB1420" w:rsidRPr="00EB1420" w:rsidRDefault="00EB1420" w:rsidP="00EB142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B1420">
        <w:rPr>
          <w:rFonts w:ascii="Times New Roman" w:hAnsi="Times New Roman" w:cs="Times New Roman"/>
          <w:b/>
          <w:sz w:val="28"/>
          <w:szCs w:val="28"/>
        </w:rPr>
        <w:t>ЗАЯВКА</w:t>
      </w:r>
    </w:p>
    <w:p w:rsidR="00EB1420" w:rsidRPr="00EB1420" w:rsidRDefault="00EB1420" w:rsidP="00EB142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B1420">
        <w:rPr>
          <w:rFonts w:ascii="Times New Roman" w:hAnsi="Times New Roman" w:cs="Times New Roman"/>
          <w:b/>
          <w:sz w:val="28"/>
          <w:szCs w:val="28"/>
        </w:rPr>
        <w:t xml:space="preserve">На участие в конференции </w:t>
      </w:r>
    </w:p>
    <w:p w:rsidR="00EB1420" w:rsidRPr="00EB1420" w:rsidRDefault="00EB1420" w:rsidP="00EB142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EB1420" w:rsidRPr="00EB1420" w:rsidTr="00367C84">
        <w:tc>
          <w:tcPr>
            <w:tcW w:w="4785" w:type="dxa"/>
          </w:tcPr>
          <w:p w:rsidR="00EB1420" w:rsidRPr="00EB1420" w:rsidRDefault="00EB1420" w:rsidP="0036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Необходимые данные</w:t>
            </w:r>
          </w:p>
        </w:tc>
        <w:tc>
          <w:tcPr>
            <w:tcW w:w="4786" w:type="dxa"/>
          </w:tcPr>
          <w:p w:rsidR="00EB1420" w:rsidRPr="00EB1420" w:rsidRDefault="00EB1420" w:rsidP="00367C8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Данные участника</w:t>
            </w:r>
          </w:p>
        </w:tc>
      </w:tr>
      <w:tr w:rsidR="00EB1420" w:rsidRPr="00EB1420" w:rsidTr="00367C84">
        <w:tc>
          <w:tcPr>
            <w:tcW w:w="4785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 xml:space="preserve">Ф.И.О. участника </w:t>
            </w:r>
          </w:p>
        </w:tc>
        <w:tc>
          <w:tcPr>
            <w:tcW w:w="4786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20" w:rsidRPr="00EB1420" w:rsidTr="00367C84">
        <w:tc>
          <w:tcPr>
            <w:tcW w:w="4785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Ученая степень, ученое звание, место и должность работы</w:t>
            </w:r>
          </w:p>
        </w:tc>
        <w:tc>
          <w:tcPr>
            <w:tcW w:w="4786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20" w:rsidRPr="00EB1420" w:rsidTr="00367C84">
        <w:tc>
          <w:tcPr>
            <w:tcW w:w="4785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Тема научного доклада</w:t>
            </w:r>
          </w:p>
        </w:tc>
        <w:tc>
          <w:tcPr>
            <w:tcW w:w="4786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B1420" w:rsidRPr="00EB1420" w:rsidTr="00367C84">
        <w:tc>
          <w:tcPr>
            <w:tcW w:w="4785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B1420">
              <w:rPr>
                <w:rFonts w:ascii="Times New Roman" w:hAnsi="Times New Roman" w:cs="Times New Roman"/>
                <w:sz w:val="28"/>
                <w:szCs w:val="28"/>
              </w:rPr>
              <w:t>Контактная информация: телефон, электронный адрес (обязательно)</w:t>
            </w:r>
          </w:p>
        </w:tc>
        <w:tc>
          <w:tcPr>
            <w:tcW w:w="4786" w:type="dxa"/>
          </w:tcPr>
          <w:p w:rsidR="00EB1420" w:rsidRPr="00EB1420" w:rsidRDefault="00EB1420" w:rsidP="00367C84">
            <w:pPr>
              <w:jc w:val="both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:rsidR="00216CCF" w:rsidRPr="00EB1420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Pr="00EB1420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</w:p>
    <w:p w:rsidR="00216CCF" w:rsidRDefault="00216CCF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bCs/>
          <w:color w:val="212529"/>
          <w:sz w:val="28"/>
          <w:szCs w:val="28"/>
          <w:lang w:eastAsia="ru-RU"/>
        </w:rPr>
        <w:t xml:space="preserve">Требования к публикациям авторов </w:t>
      </w:r>
    </w:p>
    <w:p w:rsidR="004E6635" w:rsidRPr="004E6635" w:rsidRDefault="004E6635" w:rsidP="00216CCF">
      <w:pPr>
        <w:shd w:val="clear" w:color="auto" w:fill="FFFFFF"/>
        <w:spacing w:after="0" w:line="240" w:lineRule="auto"/>
        <w:jc w:val="center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F57F1A" w:rsidRDefault="00216CCF" w:rsidP="00F57F1A">
      <w:pPr>
        <w:shd w:val="clear" w:color="auto" w:fill="FFFFFF"/>
        <w:spacing w:after="0" w:line="240" w:lineRule="auto"/>
        <w:ind w:left="142" w:firstLine="360"/>
        <w:jc w:val="both"/>
        <w:textAlignment w:val="baseline"/>
        <w:rPr>
          <w:rFonts w:ascii="Montserrat" w:eastAsia="Times New Roman" w:hAnsi="Montserrat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Представление материалов осуществляется с 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01 октября 2022 г. по 20 ноября 2022 г. 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на электронную почту: </w:t>
      </w:r>
      <w:hyperlink r:id="rId11" w:history="1">
        <w:r w:rsidR="00F57F1A" w:rsidRPr="00EB1420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jerdel</w:t>
        </w:r>
        <w:r w:rsidR="00F57F1A" w:rsidRPr="00EB1420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80@</w:t>
        </w:r>
        <w:r w:rsidR="00F57F1A" w:rsidRPr="00EB1420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mail</w:t>
        </w:r>
        <w:r w:rsidR="00F57F1A" w:rsidRPr="00EB1420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eastAsia="ru-RU"/>
          </w:rPr>
          <w:t>.</w:t>
        </w:r>
        <w:r w:rsidR="00F57F1A" w:rsidRPr="00EB1420">
          <w:rPr>
            <w:rStyle w:val="a6"/>
            <w:rFonts w:ascii="Times New Roman" w:eastAsia="Times New Roman" w:hAnsi="Times New Roman" w:cs="Times New Roman"/>
            <w:sz w:val="28"/>
            <w:szCs w:val="28"/>
            <w:bdr w:val="none" w:sz="0" w:space="0" w:color="auto" w:frame="1"/>
            <w:lang w:val="en-US" w:eastAsia="ru-RU"/>
          </w:rPr>
          <w:t>ru</w:t>
        </w:r>
      </w:hyperlink>
      <w:r w:rsidR="00F57F1A" w:rsidRPr="00EB1420">
        <w:rPr>
          <w:rFonts w:ascii="Times New Roman" w:eastAsia="Times New Roman" w:hAnsi="Times New Roman" w:cs="Times New Roman"/>
          <w:color w:val="0070C0"/>
          <w:sz w:val="28"/>
          <w:szCs w:val="28"/>
          <w:bdr w:val="none" w:sz="0" w:space="0" w:color="auto" w:frame="1"/>
          <w:lang w:eastAsia="ru-RU"/>
        </w:rPr>
        <w:t xml:space="preserve">; </w:t>
      </w:r>
      <w:hyperlink r:id="rId12" w:history="1">
        <w:r w:rsidR="00F57F1A" w:rsidRPr="00B34F90">
          <w:rPr>
            <w:rStyle w:val="a6"/>
            <w:rFonts w:ascii="Montserrat" w:eastAsia="Times New Roman" w:hAnsi="Montserrat" w:cs="Times New Roman"/>
            <w:sz w:val="28"/>
            <w:szCs w:val="28"/>
            <w:bdr w:val="none" w:sz="0" w:space="0" w:color="auto" w:frame="1"/>
            <w:lang w:eastAsia="ru-RU"/>
          </w:rPr>
          <w:t>evgen_timofeev_97@mail.ru</w:t>
        </w:r>
      </w:hyperlink>
    </w:p>
    <w:p w:rsidR="00216CCF" w:rsidRPr="00F57F1A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b/>
          <w:color w:val="17365D" w:themeColor="text2" w:themeShade="BF"/>
          <w:sz w:val="28"/>
          <w:szCs w:val="28"/>
          <w:bdr w:val="none" w:sz="0" w:space="0" w:color="auto" w:frame="1"/>
          <w:lang w:eastAsia="ru-RU"/>
        </w:rPr>
      </w:pP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Объем м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атериалов не должен превышать 7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страниц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текста, 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включая название статьи, данные об авторе, аннотацию и ключевые слова на русском языке (прилагается пример оформления статьи).</w:t>
      </w: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Все материалы следует представлять в электронном варианте (редактор Word версии выше 2000). Текст должен быть набран одним и тем же шрифтом – TimesNewRoman. Высота шрифта – 14 пунктов; межстрочный интервал – полуторный. Абзацный отступ – 1,25 см. Поля: верхнее – 2 см, нижнее – 2 см, левое – 2 см, правое – 2 см.</w:t>
      </w: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Сноски помещаются постранично; нумерация сносок сплошная. Сноски набираются шрифтом TimesNewRoman. Высота шрифта – 10 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lastRenderedPageBreak/>
        <w:t>пунктов; межстрочный интервал – одинарный. При оформлении сносок и ссылок следует руководствоваться библиографическим ГОСТом Р 7.0.5 2008.</w:t>
      </w: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</w:pP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По всем вопросам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можно обращаться к координаторам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проекта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: </w:t>
      </w:r>
      <w:r w:rsidR="00F57F1A" w:rsidRPr="00EB1420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  <w:lang w:eastAsia="ru-RU"/>
        </w:rPr>
        <w:t>Тимофееву Евгению Игоревичу,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преподавателю кафедры </w:t>
      </w:r>
      <w:r w:rsidR="00F57F1A"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трудового, экологического права и гражданского процесс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а;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Pr="00EB1420">
        <w:rPr>
          <w:rFonts w:ascii="Times New Roman" w:eastAsia="Times New Roman" w:hAnsi="Times New Roman" w:cs="Times New Roman"/>
          <w:i/>
          <w:color w:val="212529"/>
          <w:sz w:val="28"/>
          <w:szCs w:val="28"/>
          <w:bdr w:val="none" w:sz="0" w:space="0" w:color="auto" w:frame="1"/>
          <w:lang w:eastAsia="ru-RU"/>
        </w:rPr>
        <w:t>Рехтиной Ирине Владимировне,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 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зав. кафедрой 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трудового, экологического права и гражданского процесса: 8(3852)2965</w:t>
      </w:r>
      <w:r w:rsidR="00F57F1A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>38</w:t>
      </w:r>
      <w:r w:rsidRPr="004E6635">
        <w:rPr>
          <w:rFonts w:ascii="Times New Roman" w:eastAsia="Times New Roman" w:hAnsi="Times New Roman" w:cs="Times New Roman"/>
          <w:color w:val="212529"/>
          <w:sz w:val="28"/>
          <w:szCs w:val="28"/>
          <w:bdr w:val="none" w:sz="0" w:space="0" w:color="auto" w:frame="1"/>
          <w:lang w:eastAsia="ru-RU"/>
        </w:rPr>
        <w:t xml:space="preserve">; +79059816836; </w:t>
      </w:r>
    </w:p>
    <w:p w:rsidR="00216CCF" w:rsidRPr="004E6635" w:rsidRDefault="00216CCF" w:rsidP="00216CCF">
      <w:pPr>
        <w:shd w:val="clear" w:color="auto" w:fill="FFFFFF"/>
        <w:spacing w:after="0" w:line="240" w:lineRule="auto"/>
        <w:ind w:firstLine="708"/>
        <w:jc w:val="both"/>
        <w:textAlignment w:val="baseline"/>
        <w:rPr>
          <w:rFonts w:ascii="Times New Roman" w:eastAsia="Times New Roman" w:hAnsi="Times New Roman" w:cs="Times New Roman"/>
          <w:color w:val="212529"/>
          <w:sz w:val="28"/>
          <w:szCs w:val="28"/>
          <w:lang w:eastAsia="ru-RU"/>
        </w:rPr>
      </w:pP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54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Пример оформления статей: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Иванов Иван Иванович</w:t>
      </w: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, 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доцент кафедры  финансового права 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ФБГОУ ВО «Алтайский государственный университет», 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канд. юрид. наук, доцент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Финансово-правовые аспекты возмещения убытков, причиненных налоговыми органами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Аннотация: </w:t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д</w:t>
      </w:r>
      <w:r w:rsidRPr="004E663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анная статья посвящена вопросам исследования в</w:t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озмещения убытков, причиненных налоговыми органами, с позиции императивного характера регулирования и в разрезе концепции прямых и</w:t>
      </w:r>
      <w:bookmarkStart w:id="0" w:name="_GoBack"/>
      <w:bookmarkEnd w:id="0"/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обратных связей.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E663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Ключевые слова: </w:t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возмещение убытков, налогоплательщик, налоговые органы, частные и публичные финансы, прямые и обратные связи.</w:t>
      </w: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6CCF" w:rsidRPr="004E6635" w:rsidRDefault="00216CCF" w:rsidP="00216CCF">
      <w:pPr>
        <w:widowControl w:val="0"/>
        <w:autoSpaceDE w:val="0"/>
        <w:autoSpaceDN w:val="0"/>
        <w:adjustRightInd w:val="0"/>
        <w:spacing w:after="0" w:line="360" w:lineRule="auto"/>
        <w:ind w:firstLine="720"/>
        <w:jc w:val="both"/>
        <w:rPr>
          <w:rFonts w:ascii="Times New Roman" w:hAnsi="Times New Roman" w:cs="Times New Roman"/>
          <w:sz w:val="28"/>
          <w:szCs w:val="28"/>
        </w:rPr>
      </w:pP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Налогоплательщики и налоговые органы являются основными участниками налоговых правоотношений</w:t>
      </w:r>
      <w:r w:rsidRPr="004E6635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footnoteReference w:id="2"/>
      </w:r>
      <w:r w:rsidRPr="004E6635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свою очередь, налоговые правоотношения имеют, с одной стороны, публично-правовую природу, где свобода усмотрения субъектов налогового права ограничена…..</w:t>
      </w:r>
    </w:p>
    <w:p w:rsidR="00307B07" w:rsidRPr="004E6635" w:rsidRDefault="00307B07">
      <w:pPr>
        <w:rPr>
          <w:sz w:val="28"/>
          <w:szCs w:val="28"/>
        </w:rPr>
      </w:pPr>
    </w:p>
    <w:sectPr w:rsidR="00307B07" w:rsidRPr="004E6635" w:rsidSect="009E3F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C5257" w:rsidRDefault="00EC5257" w:rsidP="00216CCF">
      <w:pPr>
        <w:spacing w:after="0" w:line="240" w:lineRule="auto"/>
      </w:pPr>
      <w:r>
        <w:separator/>
      </w:r>
    </w:p>
  </w:endnote>
  <w:endnote w:type="continuationSeparator" w:id="1">
    <w:p w:rsidR="00EC5257" w:rsidRDefault="00EC5257" w:rsidP="00216CC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tserra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C5257" w:rsidRDefault="00EC5257" w:rsidP="00216CCF">
      <w:pPr>
        <w:spacing w:after="0" w:line="240" w:lineRule="auto"/>
      </w:pPr>
      <w:r>
        <w:separator/>
      </w:r>
    </w:p>
  </w:footnote>
  <w:footnote w:type="continuationSeparator" w:id="1">
    <w:p w:rsidR="00EC5257" w:rsidRDefault="00EC5257" w:rsidP="00216CCF">
      <w:pPr>
        <w:spacing w:after="0" w:line="240" w:lineRule="auto"/>
      </w:pPr>
      <w:r>
        <w:continuationSeparator/>
      </w:r>
    </w:p>
  </w:footnote>
  <w:footnote w:id="2">
    <w:p w:rsidR="00216CCF" w:rsidRDefault="00216CCF" w:rsidP="00216CCF">
      <w:pPr>
        <w:pStyle w:val="a3"/>
      </w:pPr>
      <w:r>
        <w:rPr>
          <w:rStyle w:val="a5"/>
        </w:rPr>
        <w:footnoteRef/>
      </w:r>
      <w:r>
        <w:t xml:space="preserve"> Подробнее о природе налоговых отношений см.: Петров П.П. Налоговые отношения. М., 2000. С. 12-35.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B805CD"/>
    <w:multiLevelType w:val="hybridMultilevel"/>
    <w:tmpl w:val="5EF091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E101FA"/>
    <w:multiLevelType w:val="hybridMultilevel"/>
    <w:tmpl w:val="36640396"/>
    <w:lvl w:ilvl="0" w:tplc="7C8EAF08">
      <w:start w:val="1"/>
      <w:numFmt w:val="decimal"/>
      <w:lvlText w:val="%1."/>
      <w:lvlJc w:val="left"/>
      <w:pPr>
        <w:ind w:left="502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216CCF"/>
    <w:rsid w:val="00216CCF"/>
    <w:rsid w:val="00307B07"/>
    <w:rsid w:val="004E6635"/>
    <w:rsid w:val="008032FD"/>
    <w:rsid w:val="00A6786B"/>
    <w:rsid w:val="00B466EF"/>
    <w:rsid w:val="00BA734B"/>
    <w:rsid w:val="00BA775E"/>
    <w:rsid w:val="00D36AC5"/>
    <w:rsid w:val="00D41DBB"/>
    <w:rsid w:val="00EB1420"/>
    <w:rsid w:val="00EC5257"/>
    <w:rsid w:val="00F57F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CC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rsid w:val="00216CC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4">
    <w:name w:val="Текст сноски Знак"/>
    <w:basedOn w:val="a0"/>
    <w:link w:val="a3"/>
    <w:rsid w:val="00216CC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5">
    <w:name w:val="footnote reference"/>
    <w:rsid w:val="00216CCF"/>
    <w:rPr>
      <w:vertAlign w:val="superscript"/>
    </w:rPr>
  </w:style>
  <w:style w:type="character" w:styleId="a6">
    <w:name w:val="Hyperlink"/>
    <w:basedOn w:val="a0"/>
    <w:uiPriority w:val="99"/>
    <w:unhideWhenUsed/>
    <w:rsid w:val="00216CCF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216CC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16CCF"/>
    <w:rPr>
      <w:rFonts w:ascii="Tahoma" w:hAnsi="Tahoma" w:cs="Tahoma"/>
      <w:sz w:val="16"/>
      <w:szCs w:val="16"/>
    </w:rPr>
  </w:style>
  <w:style w:type="paragraph" w:styleId="a9">
    <w:name w:val="List Paragraph"/>
    <w:basedOn w:val="a"/>
    <w:uiPriority w:val="34"/>
    <w:qFormat/>
    <w:rsid w:val="004E6635"/>
    <w:pPr>
      <w:ind w:left="720"/>
      <w:contextualSpacing/>
    </w:pPr>
  </w:style>
  <w:style w:type="table" w:styleId="aa">
    <w:name w:val="Table Grid"/>
    <w:basedOn w:val="a1"/>
    <w:uiPriority w:val="59"/>
    <w:rsid w:val="00EB142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mailto:evgen_timofeev_97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mailto:jerdel80@mail.ru" TargetMode="External"/><Relationship Id="rId5" Type="http://schemas.openxmlformats.org/officeDocument/2006/relationships/footnotes" Target="footnotes.xml"/><Relationship Id="rId10" Type="http://schemas.openxmlformats.org/officeDocument/2006/relationships/hyperlink" Target="mailto:evgen_timofeev_97@mail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jerdel80@mail.ru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591</Words>
  <Characters>3374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Рехтина Ирина Владимировна</dc:creator>
  <cp:lastModifiedBy>Рехтина Ирина Владимировна</cp:lastModifiedBy>
  <cp:revision>2</cp:revision>
  <dcterms:created xsi:type="dcterms:W3CDTF">2022-06-17T03:25:00Z</dcterms:created>
  <dcterms:modified xsi:type="dcterms:W3CDTF">2022-06-17T03:25:00Z</dcterms:modified>
</cp:coreProperties>
</file>